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20"/>
        <w:gridCol w:w="7006"/>
        <w:gridCol w:w="277"/>
      </w:tblGrid>
      <w:tr w:rsidR="00A920C9" w14:paraId="34987F8B" w14:textId="77777777" w:rsidTr="00790BB7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C3AD3" w14:textId="5FF3CD64" w:rsidR="00A920C9" w:rsidRPr="00B74CE5" w:rsidRDefault="00643ED7" w:rsidP="00790BB7">
            <w:pPr>
              <w:ind w:right="86"/>
              <w:jc w:val="right"/>
              <w:rPr>
                <w:b/>
              </w:rPr>
            </w:pPr>
            <w:bookmarkStart w:id="0" w:name="_GoBack"/>
            <w:r w:rsidRPr="00C026FF">
              <w:rPr>
                <w:rFonts w:eastAsia="Times New Roman"/>
                <w:noProof/>
                <w:bdr w:val="none" w:sz="0" w:space="0" w:color="auto" w:frame="1"/>
                <w:lang w:eastAsia="ru-RU"/>
              </w:rPr>
              <w:drawing>
                <wp:inline distT="0" distB="0" distL="0" distR="0" wp14:anchorId="271B596F" wp14:editId="2D53E2AE">
                  <wp:extent cx="1738413" cy="989815"/>
                  <wp:effectExtent l="0" t="0" r="0" b="1270"/>
                  <wp:docPr id="1" name="Рисунок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329" cy="987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7992BC" w14:textId="77777777" w:rsidR="00A920C9" w:rsidRDefault="00A920C9" w:rsidP="00790BB7">
            <w:pPr>
              <w:spacing w:after="25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Силабус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навчальної дисципліни </w:t>
            </w:r>
          </w:p>
          <w:p w14:paraId="08FF0739" w14:textId="3216B40A" w:rsidR="00A920C9" w:rsidRDefault="00A920C9" w:rsidP="00790BB7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«Системи запису і відтворення інформації» </w:t>
            </w:r>
          </w:p>
          <w:p w14:paraId="3AC4CFC7" w14:textId="77777777" w:rsidR="00A920C9" w:rsidRDefault="00A920C9" w:rsidP="00790BB7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63D65E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</w:t>
            </w:r>
            <w:proofErr w:type="spellStart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Кібербезпека</w:t>
            </w:r>
            <w:proofErr w:type="spellEnd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захист інформації»</w:t>
            </w:r>
          </w:p>
          <w:p w14:paraId="30239C28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735C" w14:textId="77777777" w:rsidR="00A920C9" w:rsidRDefault="00A920C9" w:rsidP="00790BB7">
            <w:pPr>
              <w:ind w:right="178"/>
              <w:jc w:val="right"/>
            </w:pPr>
            <w:r>
              <w:t xml:space="preserve"> </w:t>
            </w:r>
          </w:p>
        </w:tc>
      </w:tr>
      <w:tr w:rsidR="00A920C9" w14:paraId="520DA07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1B948" w14:textId="77777777" w:rsidR="00A920C9" w:rsidRPr="00B74CE5" w:rsidRDefault="00A920C9" w:rsidP="00790BB7">
            <w:pPr>
              <w:rPr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Рівень вищої освіти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6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A920C9" w14:paraId="48E004C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F130" w14:textId="77777777" w:rsidR="00A920C9" w:rsidRPr="00B74CE5" w:rsidRDefault="00A920C9" w:rsidP="00790BB7">
            <w:pPr>
              <w:rPr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Статус дисципліни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277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A920C9" w14:paraId="583276D0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2527CE" w14:textId="77777777" w:rsidR="00A920C9" w:rsidRPr="00B74CE5" w:rsidRDefault="00A920C9" w:rsidP="00790BB7">
            <w:pPr>
              <w:rPr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Курс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E2E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A920C9" w14:paraId="6634603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E5CD" w14:textId="77777777" w:rsidR="00A920C9" w:rsidRPr="00B74CE5" w:rsidRDefault="00A920C9" w:rsidP="00790BB7">
            <w:pPr>
              <w:rPr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Семестр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3F4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A920C9" w14:paraId="23AC7C5F" w14:textId="77777777" w:rsidTr="00790BB7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D2B1B" w14:textId="77777777" w:rsidR="00A920C9" w:rsidRPr="00B74CE5" w:rsidRDefault="00A920C9" w:rsidP="00790BB7">
            <w:pPr>
              <w:ind w:right="53"/>
              <w:jc w:val="both"/>
              <w:rPr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Обсяг дисципліни, кредити ЄКТС/загальна кількість годин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298" w14:textId="77777777" w:rsidR="00A920C9" w:rsidRDefault="00A920C9" w:rsidP="00790BB7">
            <w:pPr>
              <w:ind w:left="2"/>
            </w:pPr>
          </w:p>
        </w:tc>
      </w:tr>
      <w:tr w:rsidR="00A920C9" w14:paraId="65D9662A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2C0940" w14:textId="77777777" w:rsidR="00A920C9" w:rsidRPr="00B74CE5" w:rsidRDefault="00A920C9" w:rsidP="00790BB7">
            <w:pPr>
              <w:rPr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Мова викладання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3B1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A920C9" w:rsidRPr="006150E7" w14:paraId="3FA60F4B" w14:textId="77777777" w:rsidTr="00790BB7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1436E" w14:textId="77777777" w:rsidR="00A920C9" w:rsidRPr="00B74CE5" w:rsidRDefault="00A920C9" w:rsidP="006150E7">
            <w:pPr>
              <w:spacing w:after="2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14:paraId="5CF4BB8F" w14:textId="77777777" w:rsidR="00A920C9" w:rsidRPr="00B74CE5" w:rsidRDefault="00A920C9" w:rsidP="006150E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(предмет навчання)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4CAB" w14:textId="290FBD2A" w:rsidR="00A920C9" w:rsidRPr="006150E7" w:rsidRDefault="00A920C9" w:rsidP="006150E7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A920C9">
              <w:rPr>
                <w:rFonts w:ascii="Times New Roman" w:eastAsia="Times New Roman" w:hAnsi="Times New Roman" w:cs="Times New Roman"/>
              </w:rPr>
              <w:t>ринципи, методи та технології, які забезпечують ефективний запис, збереження, передачу та відтворення інформації в цифрових та аналогових системах.</w:t>
            </w:r>
          </w:p>
        </w:tc>
      </w:tr>
      <w:tr w:rsidR="00A920C9" w:rsidRPr="006150E7" w14:paraId="51CDF75C" w14:textId="77777777" w:rsidTr="00790BB7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57B8C" w14:textId="77777777" w:rsidR="00A920C9" w:rsidRPr="00B74CE5" w:rsidRDefault="00A920C9" w:rsidP="006150E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Чому це цікаво/потрібно вивчати (мета)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878C" w14:textId="599A7A5B" w:rsidR="00A920C9" w:rsidRPr="00A920C9" w:rsidRDefault="00A920C9" w:rsidP="006150E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920C9">
              <w:rPr>
                <w:rFonts w:ascii="Times New Roman" w:eastAsia="Times New Roman" w:hAnsi="Times New Roman" w:cs="Times New Roman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</w:rPr>
              <w:t>розглядає</w:t>
            </w:r>
            <w:r w:rsidRPr="00A920C9">
              <w:rPr>
                <w:rFonts w:ascii="Times New Roman" w:eastAsia="Times New Roman" w:hAnsi="Times New Roman" w:cs="Times New Roman"/>
              </w:rPr>
              <w:t xml:space="preserve"> процеси</w:t>
            </w:r>
            <w:r>
              <w:rPr>
                <w:rFonts w:ascii="Times New Roman" w:eastAsia="Times New Roman" w:hAnsi="Times New Roman" w:cs="Times New Roman"/>
              </w:rPr>
              <w:t xml:space="preserve"> які </w:t>
            </w:r>
            <w:r w:rsidRPr="00A920C9">
              <w:rPr>
                <w:rFonts w:ascii="Times New Roman" w:eastAsia="Times New Roman" w:hAnsi="Times New Roman" w:cs="Times New Roman"/>
              </w:rPr>
              <w:t xml:space="preserve">лежать в основі сучасних технологій — від кібербезпеки до </w:t>
            </w:r>
            <w:proofErr w:type="spellStart"/>
            <w:r w:rsidRPr="00A920C9">
              <w:rPr>
                <w:rFonts w:ascii="Times New Roman" w:eastAsia="Times New Roman" w:hAnsi="Times New Roman" w:cs="Times New Roman"/>
              </w:rPr>
              <w:t>мультимедіа</w:t>
            </w:r>
            <w:proofErr w:type="spellEnd"/>
            <w:r w:rsidRPr="00A920C9">
              <w:rPr>
                <w:rFonts w:ascii="Times New Roman" w:eastAsia="Times New Roman" w:hAnsi="Times New Roman" w:cs="Times New Roman"/>
              </w:rPr>
              <w:t>. Розуміння їх дозволяє вдосконалювати захист даних, оптимізувати передачу інформації та розвивати нові технологічні рішення.</w:t>
            </w:r>
          </w:p>
          <w:p w14:paraId="478198C1" w14:textId="43E9F12D" w:rsidR="00A920C9" w:rsidRPr="006150E7" w:rsidRDefault="00A920C9" w:rsidP="006150E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:rsidRPr="006150E7" w14:paraId="0C404035" w14:textId="77777777" w:rsidTr="00790BB7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56B1" w14:textId="77777777" w:rsidR="00A920C9" w:rsidRPr="00B74CE5" w:rsidRDefault="00A920C9" w:rsidP="006150E7">
            <w:pPr>
              <w:spacing w:after="2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Чому можна навчитися </w:t>
            </w:r>
          </w:p>
          <w:p w14:paraId="79E5AF12" w14:textId="77777777" w:rsidR="00A920C9" w:rsidRPr="00B74CE5" w:rsidRDefault="00A920C9" w:rsidP="006150E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(результати навчання)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467F" w14:textId="77777777" w:rsidR="00A920C9" w:rsidRPr="006150E7" w:rsidRDefault="00A920C9" w:rsidP="006150E7">
            <w:pPr>
              <w:numPr>
                <w:ilvl w:val="0"/>
                <w:numId w:val="1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6150E7">
              <w:rPr>
                <w:rFonts w:ascii="Times New Roman" w:eastAsia="Times New Roman" w:hAnsi="Times New Roman" w:cs="Times New Roman"/>
              </w:rPr>
              <w:t>Записувати, зберігати та передавати інформацію в різних форматах і системах.</w:t>
            </w:r>
          </w:p>
          <w:p w14:paraId="2D52463D" w14:textId="77777777" w:rsidR="00A920C9" w:rsidRPr="006150E7" w:rsidRDefault="00A920C9" w:rsidP="006150E7">
            <w:pPr>
              <w:numPr>
                <w:ilvl w:val="0"/>
                <w:numId w:val="1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6150E7">
              <w:rPr>
                <w:rFonts w:ascii="Times New Roman" w:eastAsia="Times New Roman" w:hAnsi="Times New Roman" w:cs="Times New Roman"/>
              </w:rPr>
              <w:t xml:space="preserve">Розуміти принципи роботи цифрових і аналогових носіїв, а також сучасних технологій збереження інформації (хмарні сховища, </w:t>
            </w:r>
            <w:proofErr w:type="spellStart"/>
            <w:r w:rsidRPr="006150E7">
              <w:rPr>
                <w:rFonts w:ascii="Times New Roman" w:eastAsia="Times New Roman" w:hAnsi="Times New Roman" w:cs="Times New Roman"/>
              </w:rPr>
              <w:t>блокчейн</w:t>
            </w:r>
            <w:proofErr w:type="spellEnd"/>
            <w:r w:rsidRPr="006150E7">
              <w:rPr>
                <w:rFonts w:ascii="Times New Roman" w:eastAsia="Times New Roman" w:hAnsi="Times New Roman" w:cs="Times New Roman"/>
              </w:rPr>
              <w:t>).</w:t>
            </w:r>
          </w:p>
          <w:p w14:paraId="485D4C4E" w14:textId="77777777" w:rsidR="00A920C9" w:rsidRPr="006150E7" w:rsidRDefault="00A920C9" w:rsidP="006150E7">
            <w:pPr>
              <w:numPr>
                <w:ilvl w:val="0"/>
                <w:numId w:val="1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6150E7">
              <w:rPr>
                <w:rFonts w:ascii="Times New Roman" w:eastAsia="Times New Roman" w:hAnsi="Times New Roman" w:cs="Times New Roman"/>
              </w:rPr>
              <w:t>Виявляти загрози та вразливості в системах обробки інформації та розробляти способи їх усунення.</w:t>
            </w:r>
          </w:p>
          <w:p w14:paraId="1BE3C66F" w14:textId="3E452461" w:rsidR="00A920C9" w:rsidRPr="006150E7" w:rsidRDefault="00A920C9" w:rsidP="006150E7">
            <w:pPr>
              <w:numPr>
                <w:ilvl w:val="0"/>
                <w:numId w:val="1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6150E7">
              <w:rPr>
                <w:rFonts w:ascii="Times New Roman" w:eastAsia="Times New Roman" w:hAnsi="Times New Roman" w:cs="Times New Roman"/>
              </w:rPr>
              <w:t>Оптимізувати процеси відтворення інформації для підвищення швидкості та якості даних.</w:t>
            </w:r>
          </w:p>
        </w:tc>
      </w:tr>
      <w:tr w:rsidR="00A920C9" w:rsidRPr="006150E7" w14:paraId="280EACDF" w14:textId="77777777" w:rsidTr="00790BB7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EBE75B" w14:textId="77777777" w:rsidR="00A920C9" w:rsidRPr="00B74CE5" w:rsidRDefault="00A920C9" w:rsidP="006150E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Як можна користуватися набутими знаннями і уміннями (компетентності)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714" w14:textId="63C9C00E" w:rsidR="00A920C9" w:rsidRPr="006150E7" w:rsidRDefault="00356497" w:rsidP="006150E7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6150E7">
              <w:rPr>
                <w:rFonts w:ascii="Times New Roman" w:eastAsia="Times New Roman" w:hAnsi="Times New Roman" w:cs="Times New Roman"/>
              </w:rPr>
              <w:t>Можна використовувати для розробки ефективних систем зберігання та передачі даних, забезпечення їхнього захисту та безпеки, а також для оптимізації процесів кодування та стиснення інформації. Ці компетентності дозволяють працювати з різними носіями даних, впроваджувати технології шифрування та резервного копіювання, а також застосовувати сучасні методи обробки аудіо, відео та текстових даних.</w:t>
            </w:r>
          </w:p>
        </w:tc>
      </w:tr>
      <w:tr w:rsidR="00A920C9" w:rsidRPr="006150E7" w14:paraId="2F8729ED" w14:textId="77777777" w:rsidTr="00790BB7">
        <w:trPr>
          <w:trHeight w:val="312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0AC259" w14:textId="77777777" w:rsidR="00A920C9" w:rsidRPr="00B74CE5" w:rsidRDefault="00A920C9" w:rsidP="006150E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Навчальна логістика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5894" w14:textId="764DA042" w:rsidR="000024C1" w:rsidRPr="006150E7" w:rsidRDefault="00A920C9" w:rsidP="006150E7">
            <w:pPr>
              <w:spacing w:after="3" w:line="275" w:lineRule="auto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6150E7">
              <w:rPr>
                <w:rFonts w:ascii="Times New Roman" w:eastAsia="Times New Roman" w:hAnsi="Times New Roman" w:cs="Times New Roman"/>
              </w:rPr>
              <w:t>Зміст дисципліни:</w:t>
            </w:r>
            <w:r w:rsidR="000024C1" w:rsidRPr="006150E7">
              <w:rPr>
                <w:rFonts w:ascii="Times New Roman" w:eastAsia="Times New Roman" w:hAnsi="Times New Roman" w:cs="Times New Roman"/>
              </w:rPr>
              <w:t xml:space="preserve"> Принципи запису, збереження та відтворення даних, вивчає різні носії інформації, такі як магнітні, оптичні, </w:t>
            </w:r>
            <w:proofErr w:type="spellStart"/>
            <w:r w:rsidR="000024C1" w:rsidRPr="006150E7">
              <w:rPr>
                <w:rFonts w:ascii="Times New Roman" w:eastAsia="Times New Roman" w:hAnsi="Times New Roman" w:cs="Times New Roman"/>
              </w:rPr>
              <w:t>твердотільні</w:t>
            </w:r>
            <w:proofErr w:type="spellEnd"/>
            <w:r w:rsidR="000024C1" w:rsidRPr="006150E7">
              <w:rPr>
                <w:rFonts w:ascii="Times New Roman" w:eastAsia="Times New Roman" w:hAnsi="Times New Roman" w:cs="Times New Roman"/>
              </w:rPr>
              <w:t xml:space="preserve"> накопичувачі та хмарні технології. Розглядаються методи кодування та стиснення даних, алгоритми обробки аудіо, відео та текстової інформації. Аналізуються способи передачі даних через цифрові й аналогові канали, їх швидкість та надійність. Значна увага приділяється безпеці та захисту даних, включаючи шифрування, резервне копіювання та виявлення загроз. Також розглядаються сучасні технології, зокрема </w:t>
            </w:r>
            <w:proofErr w:type="spellStart"/>
            <w:r w:rsidR="000024C1" w:rsidRPr="006150E7">
              <w:rPr>
                <w:rFonts w:ascii="Times New Roman" w:eastAsia="Times New Roman" w:hAnsi="Times New Roman" w:cs="Times New Roman"/>
              </w:rPr>
              <w:t>блокчейн</w:t>
            </w:r>
            <w:proofErr w:type="spellEnd"/>
            <w:r w:rsidR="000024C1" w:rsidRPr="006150E7">
              <w:rPr>
                <w:rFonts w:ascii="Times New Roman" w:eastAsia="Times New Roman" w:hAnsi="Times New Roman" w:cs="Times New Roman"/>
              </w:rPr>
              <w:t>, штучний інтелект і перспективи розвитку систем запису і відтворення інформації.</w:t>
            </w:r>
          </w:p>
          <w:p w14:paraId="16CD2FDB" w14:textId="77777777" w:rsidR="00A920C9" w:rsidRPr="006150E7" w:rsidRDefault="00A920C9" w:rsidP="006150E7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6150E7">
              <w:rPr>
                <w:rFonts w:ascii="Times New Roman" w:eastAsia="Times New Roman" w:hAnsi="Times New Roman" w:cs="Times New Roman"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 w:rsidRPr="006150E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B193FD" w14:textId="77777777" w:rsidR="00A920C9" w:rsidRPr="006150E7" w:rsidRDefault="00A920C9" w:rsidP="006150E7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6150E7">
              <w:rPr>
                <w:rFonts w:ascii="Times New Roman" w:eastAsia="Times New Roman" w:hAnsi="Times New Roman" w:cs="Times New Roman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  <w:r w:rsidRPr="006150E7">
              <w:rPr>
                <w:rFonts w:ascii="Times New Roman" w:eastAsia="Times New Roman" w:hAnsi="Times New Roman" w:cs="Times New Roman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A920C9" w:rsidRPr="006150E7" w14:paraId="752F9F44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3AD8" w14:textId="77777777" w:rsidR="00A920C9" w:rsidRPr="00B74CE5" w:rsidRDefault="00A920C9" w:rsidP="006150E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4CE5"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proofErr w:type="spellEnd"/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0D3" w14:textId="77777777" w:rsidR="00A920C9" w:rsidRPr="006150E7" w:rsidRDefault="00A920C9" w:rsidP="006150E7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A920C9" w:rsidRPr="006150E7" w14:paraId="153C5372" w14:textId="77777777" w:rsidTr="00790BB7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DF421" w14:textId="77777777" w:rsidR="00A920C9" w:rsidRPr="00B74CE5" w:rsidRDefault="00A920C9" w:rsidP="006150E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4CE5"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proofErr w:type="spellEnd"/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CB7" w14:textId="280E50AB" w:rsidR="00A920C9" w:rsidRPr="006150E7" w:rsidRDefault="00A920C9" w:rsidP="006150E7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Знання з проектування технічних систем можуть бути використані для розробки комплексних систем </w:t>
            </w:r>
            <w:r w:rsidR="000024C1">
              <w:rPr>
                <w:rFonts w:ascii="Times New Roman" w:eastAsia="Times New Roman" w:hAnsi="Times New Roman" w:cs="Times New Roman"/>
              </w:rPr>
              <w:t>запису та відтворення інформації.</w:t>
            </w:r>
          </w:p>
        </w:tc>
      </w:tr>
      <w:tr w:rsidR="00A920C9" w:rsidRPr="006150E7" w14:paraId="005A31DA" w14:textId="77777777" w:rsidTr="00790BB7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A0385" w14:textId="77777777" w:rsidR="00A920C9" w:rsidRPr="00B74CE5" w:rsidRDefault="00A920C9" w:rsidP="006150E7">
            <w:pPr>
              <w:spacing w:after="2" w:line="277" w:lineRule="auto"/>
              <w:ind w:left="9" w:right="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14:paraId="0645ED9F" w14:textId="77777777" w:rsidR="00A920C9" w:rsidRPr="00B74CE5" w:rsidRDefault="00A920C9" w:rsidP="006150E7">
            <w:pPr>
              <w:spacing w:after="20"/>
              <w:ind w:left="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з фонду та </w:t>
            </w:r>
            <w:proofErr w:type="spellStart"/>
            <w:r w:rsidRPr="00B74CE5">
              <w:rPr>
                <w:rFonts w:ascii="Times New Roman" w:eastAsia="Times New Roman" w:hAnsi="Times New Roman" w:cs="Times New Roman"/>
                <w:b/>
              </w:rPr>
              <w:t>репозитарію</w:t>
            </w:r>
            <w:proofErr w:type="spellEnd"/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3B99A3E" w14:textId="77777777" w:rsidR="00A920C9" w:rsidRPr="00B74CE5" w:rsidRDefault="00A920C9" w:rsidP="006150E7">
            <w:pPr>
              <w:ind w:left="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НТБ НАУ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4E84" w14:textId="2E0033C1" w:rsidR="00A920C9" w:rsidRPr="006150E7" w:rsidRDefault="00A920C9" w:rsidP="006150E7">
            <w:pPr>
              <w:spacing w:line="27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50E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6AF493" w14:textId="62FA8917" w:rsidR="00A920C9" w:rsidRPr="006150E7" w:rsidRDefault="00A920C9" w:rsidP="006150E7">
            <w:pPr>
              <w:spacing w:line="278" w:lineRule="auto"/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50E7">
              <w:rPr>
                <w:rFonts w:ascii="Times New Roman" w:eastAsia="Times New Roman" w:hAnsi="Times New Roman" w:cs="Times New Roman"/>
              </w:rPr>
              <w:t>Репозитарій</w:t>
            </w:r>
            <w:proofErr w:type="spellEnd"/>
            <w:r w:rsidRPr="006150E7">
              <w:rPr>
                <w:rFonts w:ascii="Times New Roman" w:eastAsia="Times New Roman" w:hAnsi="Times New Roman" w:cs="Times New Roman"/>
              </w:rPr>
              <w:t xml:space="preserve"> НАУ:</w:t>
            </w:r>
          </w:p>
          <w:p w14:paraId="698B6E26" w14:textId="6A75E125" w:rsidR="000024C1" w:rsidRPr="006150E7" w:rsidRDefault="002948F8" w:rsidP="006150E7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0024C1" w:rsidRPr="006150E7">
                <w:t>https://er.nau.edu.ua/items/54b42377-7106-4ff0-a1e9-062e910ea175</w:t>
              </w:r>
            </w:hyperlink>
          </w:p>
          <w:p w14:paraId="286330F7" w14:textId="68C8D3B4" w:rsidR="00A920C9" w:rsidRPr="006150E7" w:rsidRDefault="00356497" w:rsidP="006150E7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r w:rsidRPr="00356497">
              <w:rPr>
                <w:rFonts w:ascii="Times New Roman" w:eastAsia="Times New Roman" w:hAnsi="Times New Roman" w:cs="Times New Roman"/>
              </w:rPr>
              <w:t>https://er.nau.edu.ua/items/e2d0a3fa-eaf3-446f-a12c-df4b953bf861</w:t>
            </w:r>
          </w:p>
        </w:tc>
      </w:tr>
      <w:tr w:rsidR="00A920C9" w:rsidRPr="006150E7" w14:paraId="6794F2D0" w14:textId="77777777" w:rsidTr="00790BB7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71B90" w14:textId="77777777" w:rsidR="00A920C9" w:rsidRPr="00B74CE5" w:rsidRDefault="00A920C9" w:rsidP="006150E7">
            <w:pPr>
              <w:ind w:left="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Локація та </w:t>
            </w:r>
            <w:proofErr w:type="spellStart"/>
            <w:r w:rsidRPr="00B74CE5">
              <w:rPr>
                <w:rFonts w:ascii="Times New Roman" w:eastAsia="Times New Roman" w:hAnsi="Times New Roman" w:cs="Times New Roman"/>
                <w:b/>
              </w:rPr>
              <w:t>матеріальнотехнічне</w:t>
            </w:r>
            <w:proofErr w:type="spellEnd"/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 забезпечення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2F7" w14:textId="7B6E9713" w:rsidR="00A920C9" w:rsidRPr="006150E7" w:rsidRDefault="00A920C9" w:rsidP="006150E7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 </w:t>
            </w:r>
          </w:p>
        </w:tc>
      </w:tr>
      <w:tr w:rsidR="00A920C9" w:rsidRPr="006150E7" w14:paraId="4DC3A949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40188" w14:textId="77777777" w:rsidR="00A920C9" w:rsidRPr="00B74CE5" w:rsidRDefault="00A920C9" w:rsidP="006150E7">
            <w:pPr>
              <w:ind w:left="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Семестровий контроль, екзаменаційна методика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4CB" w14:textId="77777777" w:rsidR="00A920C9" w:rsidRPr="006150E7" w:rsidRDefault="00A920C9" w:rsidP="006150E7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A920C9" w:rsidRPr="006150E7" w14:paraId="78ED7AB7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4231AE" w14:textId="77777777" w:rsidR="00A920C9" w:rsidRPr="00B74CE5" w:rsidRDefault="00A920C9" w:rsidP="006150E7">
            <w:pPr>
              <w:ind w:left="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Кафедра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CA16" w14:textId="77777777" w:rsidR="00A920C9" w:rsidRPr="006150E7" w:rsidRDefault="00A920C9" w:rsidP="006150E7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A920C9" w:rsidRPr="006150E7" w14:paraId="74565725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89BEAF" w14:textId="77777777" w:rsidR="00A920C9" w:rsidRPr="00B74CE5" w:rsidRDefault="00A920C9" w:rsidP="006150E7">
            <w:pPr>
              <w:ind w:left="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Факультет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152" w14:textId="77777777" w:rsidR="00A920C9" w:rsidRPr="006150E7" w:rsidRDefault="00A920C9" w:rsidP="006150E7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6150E7">
              <w:rPr>
                <w:rFonts w:ascii="Times New Roman" w:eastAsia="Times New Roman" w:hAnsi="Times New Roman" w:cs="Times New Roman"/>
              </w:rPr>
              <w:t>Комп’ютерних наук та технологій</w:t>
            </w:r>
          </w:p>
        </w:tc>
      </w:tr>
      <w:tr w:rsidR="00A920C9" w:rsidRPr="006150E7" w14:paraId="2A7FB842" w14:textId="77777777" w:rsidTr="00790BB7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A16E9" w14:textId="77777777" w:rsidR="00A920C9" w:rsidRPr="00B74CE5" w:rsidRDefault="00A920C9" w:rsidP="006150E7">
            <w:pPr>
              <w:ind w:left="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Викладач(і)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B4D9" w14:textId="77777777" w:rsidR="00A920C9" w:rsidRPr="006150E7" w:rsidRDefault="00A920C9" w:rsidP="006150E7">
            <w:pPr>
              <w:tabs>
                <w:tab w:val="center" w:pos="918"/>
                <w:tab w:val="center" w:pos="2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:rsidRPr="006150E7" w14:paraId="3416DCC7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C8423" w14:textId="77777777" w:rsidR="00A920C9" w:rsidRPr="00B74CE5" w:rsidRDefault="00A920C9" w:rsidP="006150E7">
            <w:pPr>
              <w:ind w:left="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Оригінальність навчальної дисципліни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1E" w14:textId="1721B629" w:rsidR="00A920C9" w:rsidRPr="000024C1" w:rsidRDefault="000024C1" w:rsidP="006150E7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0024C1">
              <w:rPr>
                <w:rFonts w:ascii="Times New Roman" w:eastAsia="Times New Roman" w:hAnsi="Times New Roman" w:cs="Times New Roman"/>
              </w:rPr>
              <w:t>Курс розроблено з урахуванням сучасних тенденцій у сфері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інформаційної безпеки, базуючись на міжнародних стандартах та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вимогах до професійної підготовки спеціалістів у галузі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кібербезпеки.</w:t>
            </w:r>
          </w:p>
        </w:tc>
      </w:tr>
      <w:tr w:rsidR="00A920C9" w:rsidRPr="006150E7" w14:paraId="67A5BED8" w14:textId="77777777" w:rsidTr="00790BB7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08C4A" w14:textId="77777777" w:rsidR="00A920C9" w:rsidRPr="00B74CE5" w:rsidRDefault="00A920C9" w:rsidP="006150E7">
            <w:pPr>
              <w:ind w:left="9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4CE5">
              <w:rPr>
                <w:rFonts w:ascii="Times New Roman" w:eastAsia="Times New Roman" w:hAnsi="Times New Roman" w:cs="Times New Roman"/>
                <w:b/>
              </w:rPr>
              <w:t>Лінк</w:t>
            </w:r>
            <w:proofErr w:type="spellEnd"/>
            <w:r w:rsidRPr="00B74CE5">
              <w:rPr>
                <w:rFonts w:ascii="Times New Roman" w:eastAsia="Times New Roman" w:hAnsi="Times New Roman" w:cs="Times New Roman"/>
                <w:b/>
              </w:rPr>
              <w:t xml:space="preserve"> на дисципліну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675" w14:textId="260D5E8F" w:rsidR="00A920C9" w:rsidRPr="006150E7" w:rsidRDefault="008E19D9" w:rsidP="006150E7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Classroom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F10C87B" w14:textId="77777777" w:rsidR="000416B3" w:rsidRPr="006150E7" w:rsidRDefault="000416B3" w:rsidP="006150E7">
      <w:pPr>
        <w:jc w:val="both"/>
        <w:rPr>
          <w:rFonts w:ascii="Times New Roman" w:eastAsia="Times New Roman" w:hAnsi="Times New Roman" w:cs="Times New Roman"/>
        </w:rPr>
      </w:pPr>
    </w:p>
    <w:sectPr w:rsidR="000416B3" w:rsidRPr="006150E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73276" w14:textId="77777777" w:rsidR="002948F8" w:rsidRDefault="002948F8" w:rsidP="00B74CE5">
      <w:pPr>
        <w:spacing w:after="0" w:line="240" w:lineRule="auto"/>
      </w:pPr>
      <w:r>
        <w:separator/>
      </w:r>
    </w:p>
  </w:endnote>
  <w:endnote w:type="continuationSeparator" w:id="0">
    <w:p w14:paraId="6F5DA9E8" w14:textId="77777777" w:rsidR="002948F8" w:rsidRDefault="002948F8" w:rsidP="00B7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C4467" w14:textId="77777777" w:rsidR="002948F8" w:rsidRDefault="002948F8" w:rsidP="00B74CE5">
      <w:pPr>
        <w:spacing w:after="0" w:line="240" w:lineRule="auto"/>
      </w:pPr>
      <w:r>
        <w:separator/>
      </w:r>
    </w:p>
  </w:footnote>
  <w:footnote w:type="continuationSeparator" w:id="0">
    <w:p w14:paraId="042B4EC3" w14:textId="77777777" w:rsidR="002948F8" w:rsidRDefault="002948F8" w:rsidP="00B7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E1F8E" w14:textId="77777777" w:rsidR="00B74CE5" w:rsidRDefault="00B74CE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043C7"/>
    <w:multiLevelType w:val="hybridMultilevel"/>
    <w:tmpl w:val="CC509538"/>
    <w:lvl w:ilvl="0" w:tplc="34002F44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9"/>
    <w:rsid w:val="000024C1"/>
    <w:rsid w:val="000416B3"/>
    <w:rsid w:val="00125E05"/>
    <w:rsid w:val="001B79C9"/>
    <w:rsid w:val="001F6185"/>
    <w:rsid w:val="002948F8"/>
    <w:rsid w:val="00356497"/>
    <w:rsid w:val="005A59FE"/>
    <w:rsid w:val="006150E7"/>
    <w:rsid w:val="00643ED7"/>
    <w:rsid w:val="006D6134"/>
    <w:rsid w:val="00850C93"/>
    <w:rsid w:val="008E19D9"/>
    <w:rsid w:val="009C764C"/>
    <w:rsid w:val="00A920C9"/>
    <w:rsid w:val="00B74CE5"/>
    <w:rsid w:val="00EB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7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74CE5"/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B7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74CE5"/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64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3ED7"/>
    <w:rPr>
      <w:rFonts w:ascii="Tahoma" w:eastAsia="Calibri" w:hAnsi="Tahoma" w:cs="Tahoma"/>
      <w:color w:val="000000"/>
      <w:kern w:val="0"/>
      <w:sz w:val="16"/>
      <w:szCs w:val="16"/>
      <w:lang w:val="uk-UA"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7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74CE5"/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B7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74CE5"/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64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3ED7"/>
    <w:rPr>
      <w:rFonts w:ascii="Tahoma" w:eastAsia="Calibri" w:hAnsi="Tahoma" w:cs="Tahoma"/>
      <w:color w:val="000000"/>
      <w:kern w:val="0"/>
      <w:sz w:val="16"/>
      <w:szCs w:val="16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r.nau.edu.ua/items/54b42377-7106-4ff0-a1e9-062e910ea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dc:description/>
  <cp:lastModifiedBy>Аленка</cp:lastModifiedBy>
  <cp:revision>9</cp:revision>
  <dcterms:created xsi:type="dcterms:W3CDTF">2025-02-14T09:58:00Z</dcterms:created>
  <dcterms:modified xsi:type="dcterms:W3CDTF">2025-02-16T12:14:00Z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2025-02-14T10:28:26Z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1021b660-da94-4327-8f58-95debc422a01</vt:lpwstr>
  </property>
  <property fmtid="{D5CDD505-2E9C-101B-9397-08002B2CF9AE}" pid="8" name="MSIP_Label_2a535040-0af2-483f-adc3-a132c21e3e2b_ContentBits">
    <vt:lpwstr>0</vt:lpwstr>
  </property>
</Properties>
</file>